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0F7" w:rsidRPr="00511AE4" w:rsidRDefault="00E97A47" w:rsidP="00E97A47">
      <w:pPr>
        <w:jc w:val="center"/>
        <w:rPr>
          <w:b/>
        </w:rPr>
      </w:pPr>
      <w:r w:rsidRPr="00511AE4">
        <w:rPr>
          <w:b/>
        </w:rPr>
        <w:t>GUIDANCE 3</w:t>
      </w:r>
      <w:r w:rsidR="0097193B">
        <w:rPr>
          <w:b/>
        </w:rPr>
        <w:t>1</w:t>
      </w:r>
    </w:p>
    <w:p w:rsidR="00F035FB" w:rsidRPr="00994F65" w:rsidRDefault="00994F65" w:rsidP="00994F65">
      <w:pPr>
        <w:spacing w:after="0"/>
        <w:jc w:val="center"/>
        <w:rPr>
          <w:rFonts w:ascii="Georgia" w:hAnsi="Georgia"/>
          <w:b/>
          <w:sz w:val="20"/>
          <w:szCs w:val="20"/>
        </w:rPr>
      </w:pPr>
      <w:r w:rsidRPr="00994F65">
        <w:rPr>
          <w:rFonts w:ascii="Georgia" w:hAnsi="Georgia"/>
          <w:sz w:val="20"/>
          <w:szCs w:val="20"/>
        </w:rPr>
        <w:t xml:space="preserve"> </w:t>
      </w:r>
      <w:r w:rsidR="00511AE4" w:rsidRPr="00994F65">
        <w:rPr>
          <w:rFonts w:ascii="Georgia" w:hAnsi="Georgia"/>
          <w:b/>
          <w:sz w:val="20"/>
          <w:szCs w:val="20"/>
        </w:rPr>
        <w:t>GUIDANCE FOR RECORD KEEPING</w:t>
      </w:r>
    </w:p>
    <w:p w:rsidR="00994F65" w:rsidRPr="00994F65" w:rsidRDefault="00994F65" w:rsidP="00994F65">
      <w:pPr>
        <w:spacing w:after="0" w:line="240" w:lineRule="auto"/>
        <w:rPr>
          <w:rFonts w:ascii="Georgia" w:eastAsia="Times New Roman" w:hAnsi="Georgia" w:cs="Times New Roman"/>
          <w:b/>
          <w:color w:val="333333"/>
          <w:spacing w:val="-1"/>
          <w:sz w:val="20"/>
          <w:szCs w:val="20"/>
        </w:rPr>
      </w:pPr>
    </w:p>
    <w:p w:rsidR="00994F65" w:rsidRPr="00994F65" w:rsidRDefault="00994F65" w:rsidP="00994F65">
      <w:pPr>
        <w:pStyle w:val="ListParagraph"/>
        <w:numPr>
          <w:ilvl w:val="0"/>
          <w:numId w:val="3"/>
        </w:numPr>
        <w:spacing w:after="0" w:line="240" w:lineRule="auto"/>
        <w:ind w:left="360" w:hanging="360"/>
        <w:rPr>
          <w:rFonts w:ascii="Georgia" w:eastAsia="Times New Roman" w:hAnsi="Georgia" w:cs="Times New Roman"/>
          <w:color w:val="333333"/>
          <w:spacing w:val="-1"/>
          <w:sz w:val="20"/>
          <w:szCs w:val="20"/>
        </w:rPr>
      </w:pPr>
      <w:r w:rsidRPr="00994F65">
        <w:rPr>
          <w:rFonts w:ascii="Georgia" w:eastAsia="Times New Roman" w:hAnsi="Georgia" w:cs="Times New Roman"/>
          <w:b/>
          <w:color w:val="333333"/>
          <w:spacing w:val="-1"/>
          <w:sz w:val="20"/>
          <w:szCs w:val="20"/>
        </w:rPr>
        <w:t>IRB POLICY FOR RECORD KEEPING</w:t>
      </w:r>
    </w:p>
    <w:p w:rsidR="00994F65" w:rsidRPr="00994F65" w:rsidRDefault="00994F65" w:rsidP="00994F65">
      <w:pPr>
        <w:spacing w:after="0" w:line="240" w:lineRule="auto"/>
        <w:rPr>
          <w:rFonts w:ascii="Georgia" w:eastAsia="Times New Roman" w:hAnsi="Georgia" w:cs="Times New Roman"/>
          <w:color w:val="333333"/>
          <w:spacing w:val="-1"/>
          <w:sz w:val="20"/>
          <w:szCs w:val="20"/>
        </w:rPr>
      </w:pPr>
      <w:r w:rsidRPr="00994F65">
        <w:rPr>
          <w:rFonts w:ascii="Georgia" w:eastAsia="Times New Roman" w:hAnsi="Georgia" w:cs="Times New Roman"/>
          <w:color w:val="333333"/>
          <w:spacing w:val="-1"/>
          <w:sz w:val="20"/>
          <w:szCs w:val="20"/>
        </w:rPr>
        <w:t>This guideline does not supersede Rowan University policy governing data ownership and use of social security numbers and personally identifiable information.</w:t>
      </w:r>
    </w:p>
    <w:p w:rsidR="00994F65" w:rsidRDefault="00994F65" w:rsidP="00994F65">
      <w:pPr>
        <w:spacing w:after="0" w:line="240" w:lineRule="auto"/>
        <w:rPr>
          <w:rFonts w:ascii="Georgia" w:eastAsia="Times New Roman" w:hAnsi="Georgia" w:cs="Times New Roman"/>
          <w:color w:val="333333"/>
          <w:spacing w:val="-1"/>
          <w:sz w:val="20"/>
          <w:szCs w:val="20"/>
        </w:rPr>
      </w:pPr>
    </w:p>
    <w:p w:rsidR="00994F65" w:rsidRDefault="00994F65" w:rsidP="00994F65">
      <w:pPr>
        <w:spacing w:after="0" w:line="240" w:lineRule="auto"/>
        <w:rPr>
          <w:rFonts w:ascii="Georgia" w:eastAsia="Times New Roman" w:hAnsi="Georgia" w:cs="Times New Roman"/>
          <w:color w:val="333333"/>
          <w:spacing w:val="-1"/>
          <w:sz w:val="20"/>
          <w:szCs w:val="20"/>
        </w:rPr>
      </w:pPr>
      <w:r w:rsidRPr="00994F65">
        <w:rPr>
          <w:rFonts w:ascii="Georgia" w:eastAsia="Times New Roman" w:hAnsi="Georgia" w:cs="Times New Roman"/>
          <w:color w:val="333333"/>
          <w:spacing w:val="-1"/>
          <w:sz w:val="20"/>
          <w:szCs w:val="20"/>
        </w:rPr>
        <w:t>Data and research records must be maintained in accordance with Rowan University and Division of University Research Policies.</w:t>
      </w:r>
    </w:p>
    <w:p w:rsidR="00994F65" w:rsidRPr="00994F65" w:rsidRDefault="00994F65" w:rsidP="00994F65">
      <w:pPr>
        <w:spacing w:after="0" w:line="240" w:lineRule="auto"/>
        <w:rPr>
          <w:rFonts w:ascii="Georgia" w:eastAsia="Times New Roman" w:hAnsi="Georgia" w:cs="Times New Roman"/>
          <w:color w:val="333333"/>
          <w:spacing w:val="-1"/>
          <w:sz w:val="20"/>
          <w:szCs w:val="20"/>
        </w:rPr>
      </w:pPr>
    </w:p>
    <w:p w:rsidR="00994F65" w:rsidRDefault="00994F65" w:rsidP="00994F65">
      <w:pPr>
        <w:spacing w:after="0" w:line="240" w:lineRule="auto"/>
        <w:rPr>
          <w:rFonts w:ascii="Georgia" w:eastAsia="Times New Roman" w:hAnsi="Georgia" w:cs="Times New Roman"/>
          <w:color w:val="333333"/>
          <w:spacing w:val="-1"/>
          <w:sz w:val="20"/>
          <w:szCs w:val="20"/>
        </w:rPr>
      </w:pPr>
      <w:r w:rsidRPr="00994F65">
        <w:rPr>
          <w:rFonts w:ascii="Georgia" w:eastAsia="Times New Roman" w:hAnsi="Georgia" w:cs="Times New Roman"/>
          <w:color w:val="333333"/>
          <w:spacing w:val="-1"/>
          <w:sz w:val="20"/>
          <w:szCs w:val="20"/>
        </w:rPr>
        <w:t>The IRB at Rowan University maintains all official protocol-related documents in</w:t>
      </w:r>
      <w:r w:rsidR="00A06B1D">
        <w:rPr>
          <w:rFonts w:ascii="Georgia" w:eastAsia="Times New Roman" w:hAnsi="Georgia" w:cs="Times New Roman"/>
          <w:color w:val="333333"/>
          <w:spacing w:val="-1"/>
          <w:sz w:val="20"/>
          <w:szCs w:val="20"/>
        </w:rPr>
        <w:t xml:space="preserve"> the </w:t>
      </w:r>
      <w:bookmarkStart w:id="0" w:name="_GoBack"/>
      <w:bookmarkEnd w:id="0"/>
      <w:r w:rsidRPr="00994F65">
        <w:rPr>
          <w:rFonts w:ascii="Georgia" w:eastAsia="Times New Roman" w:hAnsi="Georgia" w:cs="Times New Roman"/>
          <w:color w:val="333333"/>
          <w:spacing w:val="-1"/>
          <w:sz w:val="20"/>
          <w:szCs w:val="20"/>
        </w:rPr>
        <w:t>IRB database to meet the regulatory obligations for record keeping.</w:t>
      </w:r>
    </w:p>
    <w:p w:rsidR="00994F65" w:rsidRPr="00994F65" w:rsidRDefault="00994F65" w:rsidP="00994F65">
      <w:pPr>
        <w:spacing w:after="0" w:line="240" w:lineRule="auto"/>
        <w:rPr>
          <w:rFonts w:ascii="Georgia" w:eastAsia="Times New Roman" w:hAnsi="Georgia" w:cs="Times New Roman"/>
          <w:color w:val="333333"/>
          <w:spacing w:val="-1"/>
          <w:sz w:val="20"/>
          <w:szCs w:val="20"/>
        </w:rPr>
      </w:pPr>
    </w:p>
    <w:p w:rsidR="00994F65" w:rsidRPr="00994F65" w:rsidRDefault="00994F65" w:rsidP="00994F65">
      <w:pPr>
        <w:spacing w:after="0" w:line="240" w:lineRule="auto"/>
        <w:rPr>
          <w:rFonts w:ascii="Georgia" w:eastAsia="Times New Roman" w:hAnsi="Georgia" w:cs="Times New Roman"/>
          <w:color w:val="333333"/>
          <w:spacing w:val="-1"/>
          <w:sz w:val="20"/>
          <w:szCs w:val="20"/>
        </w:rPr>
      </w:pPr>
      <w:r w:rsidRPr="00994F65">
        <w:rPr>
          <w:rFonts w:ascii="Georgia" w:eastAsia="Times New Roman" w:hAnsi="Georgia" w:cs="Times New Roman"/>
          <w:color w:val="333333"/>
          <w:spacing w:val="-1"/>
          <w:sz w:val="20"/>
          <w:szCs w:val="20"/>
        </w:rPr>
        <w:t>The following guidelines are provided to assist investigators and research staff with recordkeeping at various stages of human research studies being reviewed and approved.</w:t>
      </w:r>
    </w:p>
    <w:p w:rsidR="00994F65" w:rsidRPr="00994F65" w:rsidRDefault="00994F65" w:rsidP="009F4500">
      <w:pPr>
        <w:spacing w:after="0" w:line="240" w:lineRule="auto"/>
        <w:ind w:left="720" w:hanging="360"/>
        <w:rPr>
          <w:rFonts w:ascii="Georgia" w:eastAsia="Times New Roman" w:hAnsi="Georgia" w:cs="Times New Roman"/>
          <w:color w:val="333333"/>
          <w:spacing w:val="-1"/>
          <w:sz w:val="20"/>
          <w:szCs w:val="20"/>
        </w:rPr>
      </w:pPr>
      <w:r w:rsidRPr="00994F65">
        <w:rPr>
          <w:rFonts w:ascii="Georgia" w:eastAsia="Times New Roman" w:hAnsi="Georgia" w:cs="Times New Roman"/>
          <w:color w:val="333333"/>
          <w:spacing w:val="-1"/>
          <w:sz w:val="20"/>
          <w:szCs w:val="20"/>
        </w:rPr>
        <w:t xml:space="preserve">1. </w:t>
      </w:r>
      <w:r w:rsidR="009F4500">
        <w:rPr>
          <w:rFonts w:ascii="Georgia" w:eastAsia="Times New Roman" w:hAnsi="Georgia" w:cs="Times New Roman"/>
          <w:color w:val="333333"/>
          <w:spacing w:val="-1"/>
          <w:sz w:val="20"/>
          <w:szCs w:val="20"/>
        </w:rPr>
        <w:tab/>
      </w:r>
      <w:r w:rsidRPr="00994F65">
        <w:rPr>
          <w:rFonts w:ascii="Georgia" w:eastAsia="Times New Roman" w:hAnsi="Georgia" w:cs="Times New Roman"/>
          <w:b/>
          <w:color w:val="333333"/>
          <w:spacing w:val="-1"/>
          <w:sz w:val="20"/>
          <w:szCs w:val="20"/>
        </w:rPr>
        <w:t>Records to keep while the study is being reviewed</w:t>
      </w:r>
    </w:p>
    <w:p w:rsidR="00994F65" w:rsidRPr="00994F65" w:rsidRDefault="009F4500" w:rsidP="009F4500">
      <w:pPr>
        <w:spacing w:after="0" w:line="240" w:lineRule="auto"/>
        <w:ind w:left="720"/>
        <w:rPr>
          <w:rFonts w:ascii="Georgia" w:eastAsia="Times New Roman" w:hAnsi="Georgia" w:cs="Times New Roman"/>
          <w:color w:val="333333"/>
          <w:spacing w:val="-1"/>
          <w:sz w:val="20"/>
          <w:szCs w:val="20"/>
        </w:rPr>
      </w:pPr>
      <w:r>
        <w:rPr>
          <w:rFonts w:ascii="Georgia" w:eastAsia="Times New Roman" w:hAnsi="Georgia" w:cs="Times New Roman"/>
          <w:color w:val="333333"/>
          <w:spacing w:val="-1"/>
          <w:sz w:val="20"/>
          <w:szCs w:val="20"/>
        </w:rPr>
        <w:t>T</w:t>
      </w:r>
      <w:r w:rsidR="00994F65" w:rsidRPr="00994F65">
        <w:rPr>
          <w:rFonts w:ascii="Georgia" w:eastAsia="Times New Roman" w:hAnsi="Georgia" w:cs="Times New Roman"/>
          <w:color w:val="333333"/>
          <w:spacing w:val="-1"/>
          <w:sz w:val="20"/>
          <w:szCs w:val="20"/>
        </w:rPr>
        <w:t>he IRB database serves as the repository of study documents submitted to the IRB. Investigators, study coordinators and study staff have full access to their studies at any time during the review process.</w:t>
      </w:r>
    </w:p>
    <w:p w:rsidR="00994F65" w:rsidRPr="00994F65" w:rsidRDefault="00994F65" w:rsidP="00994F65">
      <w:pPr>
        <w:spacing w:after="0" w:line="240" w:lineRule="auto"/>
        <w:ind w:left="720" w:hanging="360"/>
        <w:rPr>
          <w:rFonts w:ascii="Georgia" w:eastAsia="Times New Roman" w:hAnsi="Georgia" w:cs="Times New Roman"/>
          <w:color w:val="333333"/>
          <w:spacing w:val="-1"/>
          <w:sz w:val="20"/>
          <w:szCs w:val="20"/>
        </w:rPr>
      </w:pPr>
      <w:r w:rsidRPr="00994F65">
        <w:rPr>
          <w:rFonts w:ascii="Georgia" w:eastAsia="Times New Roman" w:hAnsi="Georgia" w:cs="Times New Roman"/>
          <w:color w:val="333333"/>
          <w:spacing w:val="-1"/>
          <w:sz w:val="20"/>
          <w:szCs w:val="20"/>
        </w:rPr>
        <w:t xml:space="preserve">2. </w:t>
      </w:r>
      <w:r w:rsidR="009F4500">
        <w:rPr>
          <w:rFonts w:ascii="Georgia" w:eastAsia="Times New Roman" w:hAnsi="Georgia" w:cs="Times New Roman"/>
          <w:color w:val="333333"/>
          <w:spacing w:val="-1"/>
          <w:sz w:val="20"/>
          <w:szCs w:val="20"/>
        </w:rPr>
        <w:tab/>
      </w:r>
      <w:r w:rsidRPr="009F4500">
        <w:rPr>
          <w:rFonts w:ascii="Georgia" w:eastAsia="Times New Roman" w:hAnsi="Georgia" w:cs="Times New Roman"/>
          <w:b/>
          <w:color w:val="333333"/>
          <w:spacing w:val="-1"/>
          <w:sz w:val="20"/>
          <w:szCs w:val="20"/>
        </w:rPr>
        <w:t>Records to keep once a study is approved by the IRB</w:t>
      </w:r>
    </w:p>
    <w:p w:rsidR="00994F65" w:rsidRPr="00994F65" w:rsidRDefault="00994F65" w:rsidP="009F4500">
      <w:pPr>
        <w:spacing w:after="0" w:line="240" w:lineRule="auto"/>
        <w:ind w:left="1080" w:hanging="360"/>
        <w:rPr>
          <w:rFonts w:ascii="Georgia" w:eastAsia="Times New Roman" w:hAnsi="Georgia" w:cs="Times New Roman"/>
          <w:color w:val="333333"/>
          <w:spacing w:val="-1"/>
          <w:sz w:val="20"/>
          <w:szCs w:val="20"/>
        </w:rPr>
      </w:pPr>
      <w:r w:rsidRPr="00994F65">
        <w:rPr>
          <w:rFonts w:ascii="Georgia" w:eastAsia="Times New Roman" w:hAnsi="Georgia" w:cs="Times New Roman"/>
          <w:color w:val="333333"/>
          <w:spacing w:val="-1"/>
          <w:sz w:val="20"/>
          <w:szCs w:val="20"/>
        </w:rPr>
        <w:t xml:space="preserve">a. </w:t>
      </w:r>
      <w:r w:rsidR="009F4500">
        <w:rPr>
          <w:rFonts w:ascii="Georgia" w:eastAsia="Times New Roman" w:hAnsi="Georgia" w:cs="Times New Roman"/>
          <w:color w:val="333333"/>
          <w:spacing w:val="-1"/>
          <w:sz w:val="20"/>
          <w:szCs w:val="20"/>
        </w:rPr>
        <w:tab/>
      </w:r>
      <w:r w:rsidRPr="00994F65">
        <w:rPr>
          <w:rFonts w:ascii="Georgia" w:eastAsia="Times New Roman" w:hAnsi="Georgia" w:cs="Times New Roman"/>
          <w:color w:val="333333"/>
          <w:spacing w:val="-1"/>
          <w:sz w:val="20"/>
          <w:szCs w:val="20"/>
        </w:rPr>
        <w:t>Hard copies all approved and stamped consent forms, which includes all alternate consent forms as approved.</w:t>
      </w:r>
    </w:p>
    <w:p w:rsidR="00994F65" w:rsidRPr="00994F65" w:rsidRDefault="00994F65" w:rsidP="009F4500">
      <w:pPr>
        <w:spacing w:after="0" w:line="240" w:lineRule="auto"/>
        <w:ind w:left="1080" w:hanging="360"/>
        <w:rPr>
          <w:rFonts w:ascii="Georgia" w:eastAsia="Times New Roman" w:hAnsi="Georgia" w:cs="Times New Roman"/>
          <w:color w:val="333333"/>
          <w:spacing w:val="-1"/>
          <w:sz w:val="20"/>
          <w:szCs w:val="20"/>
        </w:rPr>
      </w:pPr>
      <w:r w:rsidRPr="00994F65">
        <w:rPr>
          <w:rFonts w:ascii="Georgia" w:eastAsia="Times New Roman" w:hAnsi="Georgia" w:cs="Times New Roman"/>
          <w:color w:val="333333"/>
          <w:spacing w:val="-1"/>
          <w:sz w:val="20"/>
          <w:szCs w:val="20"/>
        </w:rPr>
        <w:t xml:space="preserve">b. </w:t>
      </w:r>
      <w:r w:rsidR="009F4500">
        <w:rPr>
          <w:rFonts w:ascii="Georgia" w:eastAsia="Times New Roman" w:hAnsi="Georgia" w:cs="Times New Roman"/>
          <w:color w:val="333333"/>
          <w:spacing w:val="-1"/>
          <w:sz w:val="20"/>
          <w:szCs w:val="20"/>
        </w:rPr>
        <w:tab/>
      </w:r>
      <w:r w:rsidRPr="00994F65">
        <w:rPr>
          <w:rFonts w:ascii="Georgia" w:eastAsia="Times New Roman" w:hAnsi="Georgia" w:cs="Times New Roman"/>
          <w:color w:val="333333"/>
          <w:spacing w:val="-1"/>
          <w:sz w:val="20"/>
          <w:szCs w:val="20"/>
        </w:rPr>
        <w:t>All copies of signed consent forms and records showing that a copy of the consent form was provided to the prospective research participant/subject.</w:t>
      </w:r>
    </w:p>
    <w:p w:rsidR="00994F65" w:rsidRPr="00994F65" w:rsidRDefault="00994F65" w:rsidP="009F4500">
      <w:pPr>
        <w:spacing w:after="0" w:line="240" w:lineRule="auto"/>
        <w:ind w:left="1080" w:hanging="360"/>
        <w:rPr>
          <w:rFonts w:ascii="Georgia" w:eastAsia="Times New Roman" w:hAnsi="Georgia" w:cs="Times New Roman"/>
          <w:color w:val="333333"/>
          <w:spacing w:val="-1"/>
          <w:sz w:val="20"/>
          <w:szCs w:val="20"/>
        </w:rPr>
      </w:pPr>
      <w:r w:rsidRPr="00994F65">
        <w:rPr>
          <w:rFonts w:ascii="Georgia" w:eastAsia="Times New Roman" w:hAnsi="Georgia" w:cs="Times New Roman"/>
          <w:color w:val="333333"/>
          <w:spacing w:val="-1"/>
          <w:sz w:val="20"/>
          <w:szCs w:val="20"/>
        </w:rPr>
        <w:t xml:space="preserve">c. </w:t>
      </w:r>
      <w:r w:rsidR="009F4500">
        <w:rPr>
          <w:rFonts w:ascii="Georgia" w:eastAsia="Times New Roman" w:hAnsi="Georgia" w:cs="Times New Roman"/>
          <w:color w:val="333333"/>
          <w:spacing w:val="-1"/>
          <w:sz w:val="20"/>
          <w:szCs w:val="20"/>
        </w:rPr>
        <w:tab/>
      </w:r>
      <w:r w:rsidRPr="00994F65">
        <w:rPr>
          <w:rFonts w:ascii="Georgia" w:eastAsia="Times New Roman" w:hAnsi="Georgia" w:cs="Times New Roman"/>
          <w:color w:val="333333"/>
          <w:spacing w:val="-1"/>
          <w:sz w:val="20"/>
          <w:szCs w:val="20"/>
        </w:rPr>
        <w:t>All hard copies of approved survey instruments, questionnaires and approved material.</w:t>
      </w:r>
    </w:p>
    <w:p w:rsidR="00994F65" w:rsidRPr="00994F65" w:rsidRDefault="00994F65" w:rsidP="009F4500">
      <w:pPr>
        <w:spacing w:after="0" w:line="240" w:lineRule="auto"/>
        <w:ind w:left="1080" w:hanging="360"/>
        <w:rPr>
          <w:rFonts w:ascii="Georgia" w:eastAsia="Times New Roman" w:hAnsi="Georgia" w:cs="Times New Roman"/>
          <w:color w:val="333333"/>
          <w:spacing w:val="-1"/>
          <w:sz w:val="20"/>
          <w:szCs w:val="20"/>
        </w:rPr>
      </w:pPr>
      <w:r w:rsidRPr="00994F65">
        <w:rPr>
          <w:rFonts w:ascii="Georgia" w:eastAsia="Times New Roman" w:hAnsi="Georgia" w:cs="Times New Roman"/>
          <w:color w:val="333333"/>
          <w:spacing w:val="-1"/>
          <w:sz w:val="20"/>
          <w:szCs w:val="20"/>
        </w:rPr>
        <w:t xml:space="preserve">d. </w:t>
      </w:r>
      <w:r w:rsidR="009F4500">
        <w:rPr>
          <w:rFonts w:ascii="Georgia" w:eastAsia="Times New Roman" w:hAnsi="Georgia" w:cs="Times New Roman"/>
          <w:color w:val="333333"/>
          <w:spacing w:val="-1"/>
          <w:sz w:val="20"/>
          <w:szCs w:val="20"/>
        </w:rPr>
        <w:tab/>
      </w:r>
      <w:r w:rsidRPr="00994F65">
        <w:rPr>
          <w:rFonts w:ascii="Georgia" w:eastAsia="Times New Roman" w:hAnsi="Georgia" w:cs="Times New Roman"/>
          <w:color w:val="333333"/>
          <w:spacing w:val="-1"/>
          <w:sz w:val="20"/>
          <w:szCs w:val="20"/>
        </w:rPr>
        <w:t>All hard copies of completed surveys and questionnaires.</w:t>
      </w:r>
    </w:p>
    <w:p w:rsidR="00994F65" w:rsidRPr="00994F65" w:rsidRDefault="00994F65" w:rsidP="009F4500">
      <w:pPr>
        <w:spacing w:after="0" w:line="240" w:lineRule="auto"/>
        <w:ind w:left="720" w:hanging="360"/>
        <w:rPr>
          <w:rFonts w:ascii="Georgia" w:eastAsia="Times New Roman" w:hAnsi="Georgia" w:cs="Times New Roman"/>
          <w:color w:val="333333"/>
          <w:spacing w:val="-1"/>
          <w:sz w:val="20"/>
          <w:szCs w:val="20"/>
        </w:rPr>
      </w:pPr>
      <w:r w:rsidRPr="00994F65">
        <w:rPr>
          <w:rFonts w:ascii="Georgia" w:eastAsia="Times New Roman" w:hAnsi="Georgia" w:cs="Times New Roman"/>
          <w:color w:val="333333"/>
          <w:spacing w:val="-1"/>
          <w:sz w:val="20"/>
          <w:szCs w:val="20"/>
        </w:rPr>
        <w:t xml:space="preserve">3. </w:t>
      </w:r>
      <w:r w:rsidR="009F4500">
        <w:rPr>
          <w:rFonts w:ascii="Georgia" w:eastAsia="Times New Roman" w:hAnsi="Georgia" w:cs="Times New Roman"/>
          <w:color w:val="333333"/>
          <w:spacing w:val="-1"/>
          <w:sz w:val="20"/>
          <w:szCs w:val="20"/>
        </w:rPr>
        <w:tab/>
      </w:r>
      <w:r w:rsidRPr="009F4500">
        <w:rPr>
          <w:rFonts w:ascii="Georgia" w:eastAsia="Times New Roman" w:hAnsi="Georgia" w:cs="Times New Roman"/>
          <w:b/>
          <w:color w:val="333333"/>
          <w:spacing w:val="-1"/>
          <w:sz w:val="20"/>
          <w:szCs w:val="20"/>
        </w:rPr>
        <w:t>Protocol Modifications</w:t>
      </w:r>
    </w:p>
    <w:p w:rsidR="00994F65" w:rsidRPr="00994F65" w:rsidRDefault="00994F65" w:rsidP="009F4500">
      <w:pPr>
        <w:spacing w:after="0" w:line="240" w:lineRule="auto"/>
        <w:ind w:left="1080" w:hanging="360"/>
        <w:rPr>
          <w:rFonts w:ascii="Georgia" w:eastAsia="Times New Roman" w:hAnsi="Georgia" w:cs="Times New Roman"/>
          <w:color w:val="333333"/>
          <w:spacing w:val="-1"/>
          <w:sz w:val="20"/>
          <w:szCs w:val="20"/>
        </w:rPr>
      </w:pPr>
      <w:r w:rsidRPr="00994F65">
        <w:rPr>
          <w:rFonts w:ascii="Georgia" w:eastAsia="Times New Roman" w:hAnsi="Georgia" w:cs="Times New Roman"/>
          <w:color w:val="333333"/>
          <w:spacing w:val="-1"/>
          <w:sz w:val="20"/>
          <w:szCs w:val="20"/>
        </w:rPr>
        <w:t xml:space="preserve">a. </w:t>
      </w:r>
      <w:r w:rsidR="009F4500">
        <w:rPr>
          <w:rFonts w:ascii="Georgia" w:eastAsia="Times New Roman" w:hAnsi="Georgia" w:cs="Times New Roman"/>
          <w:color w:val="333333"/>
          <w:spacing w:val="-1"/>
          <w:sz w:val="20"/>
          <w:szCs w:val="20"/>
        </w:rPr>
        <w:tab/>
      </w:r>
      <w:r w:rsidRPr="00994F65">
        <w:rPr>
          <w:rFonts w:ascii="Georgia" w:eastAsia="Times New Roman" w:hAnsi="Georgia" w:cs="Times New Roman"/>
          <w:color w:val="333333"/>
          <w:spacing w:val="-1"/>
          <w:sz w:val="20"/>
          <w:szCs w:val="20"/>
        </w:rPr>
        <w:t>Keep all copies of all versions of protocols, consent forms or alternate consent forms demonstrating that the most recent versions of protocol, consent forms, surveys, questionnaires, screening instruments, advertisements/recruitment letters and other IRB-approved materials are used.</w:t>
      </w:r>
    </w:p>
    <w:p w:rsidR="00994F65" w:rsidRPr="00994F65" w:rsidRDefault="00994F65" w:rsidP="009F4500">
      <w:pPr>
        <w:spacing w:after="0" w:line="240" w:lineRule="auto"/>
        <w:ind w:left="720" w:hanging="360"/>
        <w:rPr>
          <w:rFonts w:ascii="Georgia" w:eastAsia="Times New Roman" w:hAnsi="Georgia" w:cs="Times New Roman"/>
          <w:color w:val="333333"/>
          <w:spacing w:val="-1"/>
          <w:sz w:val="20"/>
          <w:szCs w:val="20"/>
        </w:rPr>
      </w:pPr>
      <w:r w:rsidRPr="00994F65">
        <w:rPr>
          <w:rFonts w:ascii="Georgia" w:eastAsia="Times New Roman" w:hAnsi="Georgia" w:cs="Times New Roman"/>
          <w:color w:val="333333"/>
          <w:spacing w:val="-1"/>
          <w:sz w:val="20"/>
          <w:szCs w:val="20"/>
        </w:rPr>
        <w:t xml:space="preserve">4. </w:t>
      </w:r>
      <w:r w:rsidR="009F4500">
        <w:rPr>
          <w:rFonts w:ascii="Georgia" w:eastAsia="Times New Roman" w:hAnsi="Georgia" w:cs="Times New Roman"/>
          <w:color w:val="333333"/>
          <w:spacing w:val="-1"/>
          <w:sz w:val="20"/>
          <w:szCs w:val="20"/>
        </w:rPr>
        <w:tab/>
      </w:r>
      <w:r w:rsidRPr="009F4500">
        <w:rPr>
          <w:rFonts w:ascii="Georgia" w:eastAsia="Times New Roman" w:hAnsi="Georgia" w:cs="Times New Roman"/>
          <w:b/>
          <w:color w:val="333333"/>
          <w:spacing w:val="-1"/>
          <w:sz w:val="20"/>
          <w:szCs w:val="20"/>
        </w:rPr>
        <w:t>Continuing reviews</w:t>
      </w:r>
    </w:p>
    <w:p w:rsidR="00994F65" w:rsidRPr="00994F65" w:rsidRDefault="00994F65" w:rsidP="009F4500">
      <w:pPr>
        <w:spacing w:after="0" w:line="240" w:lineRule="auto"/>
        <w:ind w:firstLine="720"/>
        <w:rPr>
          <w:rFonts w:ascii="Georgia" w:eastAsia="Times New Roman" w:hAnsi="Georgia" w:cs="Times New Roman"/>
          <w:color w:val="333333"/>
          <w:spacing w:val="-1"/>
          <w:sz w:val="20"/>
          <w:szCs w:val="20"/>
        </w:rPr>
      </w:pPr>
      <w:r w:rsidRPr="00994F65">
        <w:rPr>
          <w:rFonts w:ascii="Georgia" w:eastAsia="Times New Roman" w:hAnsi="Georgia" w:cs="Times New Roman"/>
          <w:color w:val="333333"/>
          <w:spacing w:val="-1"/>
          <w:sz w:val="20"/>
          <w:szCs w:val="20"/>
        </w:rPr>
        <w:t>Investigators must keep copies of all documents submitted as part of the continuing review.</w:t>
      </w:r>
    </w:p>
    <w:p w:rsidR="00994F65" w:rsidRPr="00994F65" w:rsidRDefault="00994F65" w:rsidP="009F4500">
      <w:pPr>
        <w:spacing w:after="0" w:line="240" w:lineRule="auto"/>
        <w:ind w:left="720" w:hanging="360"/>
        <w:rPr>
          <w:rFonts w:ascii="Georgia" w:eastAsia="Times New Roman" w:hAnsi="Georgia" w:cs="Times New Roman"/>
          <w:color w:val="333333"/>
          <w:spacing w:val="-1"/>
          <w:sz w:val="20"/>
          <w:szCs w:val="20"/>
        </w:rPr>
      </w:pPr>
      <w:r w:rsidRPr="00994F65">
        <w:rPr>
          <w:rFonts w:ascii="Georgia" w:eastAsia="Times New Roman" w:hAnsi="Georgia" w:cs="Times New Roman"/>
          <w:color w:val="333333"/>
          <w:spacing w:val="-1"/>
          <w:sz w:val="20"/>
          <w:szCs w:val="20"/>
        </w:rPr>
        <w:t>5.</w:t>
      </w:r>
      <w:r w:rsidR="009F4500">
        <w:rPr>
          <w:rFonts w:ascii="Georgia" w:eastAsia="Times New Roman" w:hAnsi="Georgia" w:cs="Times New Roman"/>
          <w:color w:val="333333"/>
          <w:spacing w:val="-1"/>
          <w:sz w:val="20"/>
          <w:szCs w:val="20"/>
        </w:rPr>
        <w:tab/>
      </w:r>
      <w:r w:rsidRPr="009F4500">
        <w:rPr>
          <w:rFonts w:ascii="Georgia" w:eastAsia="Times New Roman" w:hAnsi="Georgia" w:cs="Times New Roman"/>
          <w:b/>
          <w:color w:val="333333"/>
          <w:spacing w:val="-1"/>
          <w:sz w:val="20"/>
          <w:szCs w:val="20"/>
        </w:rPr>
        <w:t>Record Retention</w:t>
      </w:r>
    </w:p>
    <w:p w:rsidR="00994F65" w:rsidRPr="00994F65" w:rsidRDefault="00994F65" w:rsidP="009F4500">
      <w:pPr>
        <w:spacing w:after="0" w:line="240" w:lineRule="auto"/>
        <w:ind w:left="720"/>
        <w:rPr>
          <w:rFonts w:ascii="Georgia" w:eastAsia="Times New Roman" w:hAnsi="Georgia" w:cs="Times New Roman"/>
          <w:color w:val="333333"/>
          <w:spacing w:val="-1"/>
          <w:sz w:val="20"/>
          <w:szCs w:val="20"/>
        </w:rPr>
      </w:pPr>
      <w:r w:rsidRPr="00994F65">
        <w:rPr>
          <w:rFonts w:ascii="Georgia" w:eastAsia="Times New Roman" w:hAnsi="Georgia" w:cs="Times New Roman"/>
          <w:color w:val="333333"/>
          <w:spacing w:val="-1"/>
          <w:sz w:val="20"/>
          <w:szCs w:val="20"/>
        </w:rPr>
        <w:t>Rowan University has its record retention policy posted at https://confluence.rowan.edu/display/POLICY/Records+Retention . Retention of research records are sometimes mandated by the funding agency and FDA. Therefore, Investigators should contact the Office of Research, IRB Administration at 856-256-4078.</w:t>
      </w:r>
    </w:p>
    <w:p w:rsidR="00994F65" w:rsidRPr="009F4500" w:rsidRDefault="00994F65" w:rsidP="009F4500">
      <w:pPr>
        <w:spacing w:after="0" w:line="240" w:lineRule="auto"/>
        <w:ind w:left="720" w:hanging="360"/>
        <w:rPr>
          <w:rFonts w:ascii="Georgia" w:eastAsia="Times New Roman" w:hAnsi="Georgia" w:cs="Times New Roman"/>
          <w:b/>
          <w:color w:val="333333"/>
          <w:spacing w:val="-1"/>
          <w:sz w:val="20"/>
          <w:szCs w:val="20"/>
        </w:rPr>
      </w:pPr>
      <w:r w:rsidRPr="009F4500">
        <w:rPr>
          <w:rFonts w:ascii="Georgia" w:eastAsia="Times New Roman" w:hAnsi="Georgia" w:cs="Times New Roman"/>
          <w:b/>
          <w:color w:val="333333"/>
          <w:spacing w:val="-1"/>
          <w:sz w:val="20"/>
          <w:szCs w:val="20"/>
        </w:rPr>
        <w:t xml:space="preserve">6. </w:t>
      </w:r>
      <w:r w:rsidR="009F4500" w:rsidRPr="009F4500">
        <w:rPr>
          <w:rFonts w:ascii="Georgia" w:eastAsia="Times New Roman" w:hAnsi="Georgia" w:cs="Times New Roman"/>
          <w:b/>
          <w:color w:val="333333"/>
          <w:spacing w:val="-1"/>
          <w:sz w:val="20"/>
          <w:szCs w:val="20"/>
        </w:rPr>
        <w:tab/>
      </w:r>
      <w:r w:rsidRPr="009F4500">
        <w:rPr>
          <w:rFonts w:ascii="Georgia" w:eastAsia="Times New Roman" w:hAnsi="Georgia" w:cs="Times New Roman"/>
          <w:b/>
          <w:color w:val="333333"/>
          <w:spacing w:val="-1"/>
          <w:sz w:val="20"/>
          <w:szCs w:val="20"/>
        </w:rPr>
        <w:t>Data Ownership</w:t>
      </w:r>
    </w:p>
    <w:p w:rsidR="009F4500" w:rsidRPr="00994F65" w:rsidRDefault="00994F65" w:rsidP="009F4500">
      <w:pPr>
        <w:spacing w:after="0" w:line="240" w:lineRule="auto"/>
        <w:ind w:left="720"/>
        <w:rPr>
          <w:rFonts w:ascii="Georgia" w:eastAsia="Times New Roman" w:hAnsi="Georgia" w:cs="Times New Roman"/>
          <w:color w:val="333333"/>
          <w:spacing w:val="-1"/>
          <w:sz w:val="20"/>
          <w:szCs w:val="20"/>
        </w:rPr>
      </w:pPr>
      <w:r w:rsidRPr="00994F65">
        <w:rPr>
          <w:rFonts w:ascii="Georgia" w:eastAsia="Times New Roman" w:hAnsi="Georgia" w:cs="Times New Roman"/>
          <w:color w:val="333333"/>
          <w:spacing w:val="-1"/>
          <w:sz w:val="20"/>
          <w:szCs w:val="20"/>
        </w:rPr>
        <w:t xml:space="preserve">Rowan University has its data ownership policy posted at </w:t>
      </w:r>
      <w:hyperlink r:id="rId5" w:history="1">
        <w:r w:rsidR="009F4500" w:rsidRPr="00973F93">
          <w:rPr>
            <w:rStyle w:val="Hyperlink"/>
            <w:rFonts w:ascii="Georgia" w:eastAsia="Times New Roman" w:hAnsi="Georgia" w:cs="Times New Roman"/>
            <w:spacing w:val="-1"/>
            <w:sz w:val="20"/>
            <w:szCs w:val="20"/>
          </w:rPr>
          <w:t>https://confluence.rowan.edu/display/POLICY/Data+Ownership+Policy</w:t>
        </w:r>
      </w:hyperlink>
      <w:r w:rsidR="009F4500">
        <w:rPr>
          <w:rFonts w:ascii="Georgia" w:eastAsia="Times New Roman" w:hAnsi="Georgia" w:cs="Times New Roman"/>
          <w:color w:val="333333"/>
          <w:spacing w:val="-1"/>
          <w:sz w:val="20"/>
          <w:szCs w:val="20"/>
        </w:rPr>
        <w:t>.</w:t>
      </w:r>
    </w:p>
    <w:p w:rsidR="00994F65" w:rsidRPr="009F4500" w:rsidRDefault="00994F65" w:rsidP="009F4500">
      <w:pPr>
        <w:spacing w:after="0" w:line="240" w:lineRule="auto"/>
        <w:ind w:left="720" w:hanging="360"/>
        <w:rPr>
          <w:rFonts w:ascii="Georgia" w:eastAsia="Times New Roman" w:hAnsi="Georgia" w:cs="Times New Roman"/>
          <w:b/>
          <w:color w:val="333333"/>
          <w:spacing w:val="-1"/>
          <w:sz w:val="20"/>
          <w:szCs w:val="20"/>
        </w:rPr>
      </w:pPr>
      <w:r w:rsidRPr="00994F65">
        <w:rPr>
          <w:rFonts w:ascii="Georgia" w:eastAsia="Times New Roman" w:hAnsi="Georgia" w:cs="Times New Roman"/>
          <w:color w:val="333333"/>
          <w:spacing w:val="-1"/>
          <w:sz w:val="20"/>
          <w:szCs w:val="20"/>
        </w:rPr>
        <w:t xml:space="preserve">7. </w:t>
      </w:r>
      <w:r w:rsidR="009F4500">
        <w:rPr>
          <w:rFonts w:ascii="Georgia" w:eastAsia="Times New Roman" w:hAnsi="Georgia" w:cs="Times New Roman"/>
          <w:color w:val="333333"/>
          <w:spacing w:val="-1"/>
          <w:sz w:val="20"/>
          <w:szCs w:val="20"/>
        </w:rPr>
        <w:tab/>
      </w:r>
      <w:r w:rsidRPr="009F4500">
        <w:rPr>
          <w:rFonts w:ascii="Georgia" w:eastAsia="Times New Roman" w:hAnsi="Georgia" w:cs="Times New Roman"/>
          <w:b/>
          <w:color w:val="333333"/>
          <w:spacing w:val="-1"/>
          <w:sz w:val="20"/>
          <w:szCs w:val="20"/>
        </w:rPr>
        <w:t>Use of SSNs and PII in Human Subject Research</w:t>
      </w:r>
    </w:p>
    <w:p w:rsidR="00994F65" w:rsidRDefault="00994F65" w:rsidP="009F4500">
      <w:pPr>
        <w:spacing w:after="0" w:line="240" w:lineRule="auto"/>
        <w:ind w:left="720"/>
        <w:rPr>
          <w:rFonts w:ascii="Georgia" w:eastAsia="Times New Roman" w:hAnsi="Georgia" w:cs="Times New Roman"/>
          <w:color w:val="333333"/>
          <w:spacing w:val="-1"/>
          <w:sz w:val="20"/>
          <w:szCs w:val="20"/>
        </w:rPr>
      </w:pPr>
      <w:r w:rsidRPr="00994F65">
        <w:rPr>
          <w:rFonts w:ascii="Georgia" w:eastAsia="Times New Roman" w:hAnsi="Georgia" w:cs="Times New Roman"/>
          <w:color w:val="333333"/>
          <w:spacing w:val="-1"/>
          <w:sz w:val="20"/>
          <w:szCs w:val="20"/>
        </w:rPr>
        <w:t xml:space="preserve">Rowan University has its use of SSNs and PII policy posted at </w:t>
      </w:r>
      <w:hyperlink r:id="rId6" w:history="1">
        <w:r w:rsidR="009F4500" w:rsidRPr="00973F93">
          <w:rPr>
            <w:rStyle w:val="Hyperlink"/>
            <w:rFonts w:ascii="Georgia" w:eastAsia="Times New Roman" w:hAnsi="Georgia" w:cs="Times New Roman"/>
            <w:spacing w:val="-1"/>
            <w:sz w:val="20"/>
            <w:szCs w:val="20"/>
          </w:rPr>
          <w:t>https://confluence.rowan.edu/display/POLICY/Use+of+SSNs+and+PII+in+Human+Subject+Research</w:t>
        </w:r>
      </w:hyperlink>
      <w:r w:rsidR="009F4500">
        <w:rPr>
          <w:rFonts w:ascii="Georgia" w:eastAsia="Times New Roman" w:hAnsi="Georgia" w:cs="Times New Roman"/>
          <w:color w:val="333333"/>
          <w:spacing w:val="-1"/>
          <w:sz w:val="20"/>
          <w:szCs w:val="20"/>
        </w:rPr>
        <w:t>.</w:t>
      </w:r>
    </w:p>
    <w:p w:rsidR="009F4500" w:rsidRPr="00994F65" w:rsidRDefault="009F4500" w:rsidP="009F4500">
      <w:pPr>
        <w:spacing w:after="0" w:line="240" w:lineRule="auto"/>
        <w:ind w:left="720"/>
        <w:rPr>
          <w:rFonts w:ascii="Georgia" w:eastAsia="Times New Roman" w:hAnsi="Georgia" w:cs="Times New Roman"/>
          <w:color w:val="333333"/>
          <w:spacing w:val="-1"/>
          <w:sz w:val="20"/>
          <w:szCs w:val="20"/>
        </w:rPr>
      </w:pPr>
    </w:p>
    <w:p w:rsidR="00B229E3" w:rsidRPr="009F4500" w:rsidRDefault="00994F65" w:rsidP="00994F65">
      <w:pPr>
        <w:pStyle w:val="ListParagraph"/>
        <w:numPr>
          <w:ilvl w:val="0"/>
          <w:numId w:val="3"/>
        </w:numPr>
        <w:spacing w:after="0" w:line="240" w:lineRule="auto"/>
        <w:ind w:left="360" w:hanging="360"/>
        <w:rPr>
          <w:rFonts w:ascii="Georgia" w:hAnsi="Georgia"/>
          <w:b/>
          <w:sz w:val="20"/>
          <w:szCs w:val="20"/>
        </w:rPr>
      </w:pPr>
      <w:r w:rsidRPr="009F4500">
        <w:rPr>
          <w:rFonts w:ascii="Georgia" w:eastAsia="Times New Roman" w:hAnsi="Georgia" w:cs="Times New Roman"/>
          <w:b/>
          <w:color w:val="333333"/>
          <w:spacing w:val="-1"/>
          <w:sz w:val="20"/>
          <w:szCs w:val="20"/>
        </w:rPr>
        <w:t>GENERAL POLICY  FOR RECORD KEEPING AND RETENTION</w:t>
      </w:r>
    </w:p>
    <w:p w:rsidR="00B229E3" w:rsidRPr="00B229E3" w:rsidRDefault="00B229E3" w:rsidP="00994F65">
      <w:pPr>
        <w:numPr>
          <w:ilvl w:val="0"/>
          <w:numId w:val="1"/>
        </w:numPr>
        <w:spacing w:after="0" w:line="240" w:lineRule="auto"/>
        <w:ind w:left="360"/>
        <w:rPr>
          <w:rFonts w:ascii="Georgia" w:eastAsia="Times New Roman" w:hAnsi="Georgia" w:cs="Times New Roman"/>
          <w:color w:val="172B4D"/>
          <w:sz w:val="20"/>
          <w:szCs w:val="20"/>
        </w:rPr>
      </w:pPr>
      <w:r w:rsidRPr="00B229E3">
        <w:rPr>
          <w:rFonts w:ascii="Georgia" w:eastAsia="Times New Roman" w:hAnsi="Georgia" w:cs="Times New Roman"/>
          <w:color w:val="172B4D"/>
          <w:sz w:val="20"/>
          <w:szCs w:val="20"/>
        </w:rPr>
        <w:t>It is the policy of Rowan University to comply with federal and state requirements regarding sponsored programs record retention. The policy applies to all sponsored program files regardless of where files are stored.</w:t>
      </w:r>
    </w:p>
    <w:p w:rsidR="00B229E3" w:rsidRPr="00B229E3" w:rsidRDefault="00B229E3" w:rsidP="00994F65">
      <w:pPr>
        <w:numPr>
          <w:ilvl w:val="1"/>
          <w:numId w:val="1"/>
        </w:numPr>
        <w:spacing w:after="100" w:afterAutospacing="1" w:line="240" w:lineRule="auto"/>
        <w:ind w:left="360"/>
        <w:rPr>
          <w:rFonts w:ascii="Georgia" w:eastAsia="Times New Roman" w:hAnsi="Georgia" w:cs="Times New Roman"/>
          <w:color w:val="172B4D"/>
          <w:sz w:val="20"/>
          <w:szCs w:val="20"/>
        </w:rPr>
      </w:pPr>
      <w:r w:rsidRPr="00B229E3">
        <w:rPr>
          <w:rFonts w:ascii="Georgia" w:eastAsia="Times New Roman" w:hAnsi="Georgia" w:cs="Times New Roman"/>
          <w:b/>
          <w:color w:val="172B4D"/>
          <w:sz w:val="20"/>
          <w:szCs w:val="20"/>
        </w:rPr>
        <w:t>Federal Award Files</w:t>
      </w:r>
      <w:r w:rsidRPr="00B229E3">
        <w:rPr>
          <w:rFonts w:ascii="Georgia" w:eastAsia="Times New Roman" w:hAnsi="Georgia" w:cs="Times New Roman"/>
          <w:color w:val="172B4D"/>
          <w:sz w:val="20"/>
          <w:szCs w:val="20"/>
        </w:rPr>
        <w:br/>
        <w:t>2 CFR 200.333 outlines the record retention requirements as well as the access guidelines for universities receiving grants from the federal government:</w:t>
      </w:r>
      <w:r w:rsidRPr="00B229E3">
        <w:rPr>
          <w:rFonts w:ascii="Georgia" w:eastAsia="Times New Roman" w:hAnsi="Georgia" w:cs="Times New Roman"/>
          <w:color w:val="172B4D"/>
          <w:sz w:val="20"/>
          <w:szCs w:val="20"/>
        </w:rPr>
        <w:br/>
        <w:t xml:space="preserve">"Financial records, supporting documents, statistical records, and all other records pertinent to an award shall be retained for a period of three years from the date of submission of the final expenditure </w:t>
      </w:r>
      <w:r w:rsidRPr="00B229E3">
        <w:rPr>
          <w:rFonts w:ascii="Georgia" w:eastAsia="Times New Roman" w:hAnsi="Georgia" w:cs="Times New Roman"/>
          <w:color w:val="172B4D"/>
          <w:sz w:val="20"/>
          <w:szCs w:val="20"/>
        </w:rPr>
        <w:lastRenderedPageBreak/>
        <w:t>report or, for awards that are renewed quarterly or annually, from the date of the submission of the quarterly or annual financial report, as authorized by the Federal awarding agency. The only exceptions are the following.</w:t>
      </w:r>
    </w:p>
    <w:p w:rsidR="00B229E3" w:rsidRPr="00B229E3" w:rsidRDefault="00B229E3" w:rsidP="00B229E3">
      <w:pPr>
        <w:numPr>
          <w:ilvl w:val="2"/>
          <w:numId w:val="1"/>
        </w:numPr>
        <w:spacing w:before="100" w:beforeAutospacing="1" w:after="100" w:afterAutospacing="1" w:line="240" w:lineRule="auto"/>
        <w:ind w:left="1080"/>
        <w:rPr>
          <w:rFonts w:ascii="Georgia" w:eastAsia="Times New Roman" w:hAnsi="Georgia" w:cs="Times New Roman"/>
          <w:color w:val="172B4D"/>
          <w:sz w:val="20"/>
          <w:szCs w:val="20"/>
        </w:rPr>
      </w:pPr>
      <w:r w:rsidRPr="00B229E3">
        <w:rPr>
          <w:rFonts w:ascii="Georgia" w:eastAsia="Times New Roman" w:hAnsi="Georgia" w:cs="Times New Roman"/>
          <w:color w:val="172B4D"/>
          <w:sz w:val="20"/>
          <w:szCs w:val="20"/>
        </w:rPr>
        <w:t>If any litigation, claim, or audit is started before the expiration of the 3-year period, the records shall be retained until all litigation, claims or audit findings involving the records have been resolved and final action taken.</w:t>
      </w:r>
    </w:p>
    <w:p w:rsidR="00B229E3" w:rsidRPr="00B229E3" w:rsidRDefault="00B229E3" w:rsidP="00B229E3">
      <w:pPr>
        <w:numPr>
          <w:ilvl w:val="2"/>
          <w:numId w:val="1"/>
        </w:numPr>
        <w:spacing w:before="100" w:beforeAutospacing="1" w:after="100" w:afterAutospacing="1" w:line="240" w:lineRule="auto"/>
        <w:ind w:left="1080"/>
        <w:rPr>
          <w:rFonts w:ascii="Georgia" w:eastAsia="Times New Roman" w:hAnsi="Georgia" w:cs="Times New Roman"/>
          <w:color w:val="172B4D"/>
          <w:sz w:val="20"/>
          <w:szCs w:val="20"/>
        </w:rPr>
      </w:pPr>
      <w:r w:rsidRPr="00B229E3">
        <w:rPr>
          <w:rFonts w:ascii="Georgia" w:eastAsia="Times New Roman" w:hAnsi="Georgia" w:cs="Times New Roman"/>
          <w:color w:val="172B4D"/>
          <w:sz w:val="20"/>
          <w:szCs w:val="20"/>
        </w:rPr>
        <w:t>Records for real property and equipment acquired with Federal funds shall be retained for 3 years after final disposition.</w:t>
      </w:r>
    </w:p>
    <w:p w:rsidR="00B229E3" w:rsidRPr="00B229E3" w:rsidRDefault="00B229E3" w:rsidP="00B229E3">
      <w:pPr>
        <w:numPr>
          <w:ilvl w:val="2"/>
          <w:numId w:val="1"/>
        </w:numPr>
        <w:spacing w:after="0" w:line="240" w:lineRule="auto"/>
        <w:ind w:left="1080"/>
        <w:rPr>
          <w:rFonts w:ascii="Georgia" w:eastAsia="Times New Roman" w:hAnsi="Georgia" w:cs="Times New Roman"/>
          <w:color w:val="172B4D"/>
          <w:sz w:val="20"/>
          <w:szCs w:val="20"/>
        </w:rPr>
      </w:pPr>
      <w:r w:rsidRPr="00B229E3">
        <w:rPr>
          <w:rFonts w:ascii="Georgia" w:eastAsia="Times New Roman" w:hAnsi="Georgia" w:cs="Times New Roman"/>
          <w:color w:val="172B4D"/>
          <w:sz w:val="20"/>
          <w:szCs w:val="20"/>
        </w:rPr>
        <w:t>When records are transferred to or maintained by the Federal awarding agency, the 3-year retention requirement is not applicable to the recipient.Indirect cost rate proposals, cost allocations plans, etc. as specified below</w:t>
      </w:r>
      <w:r w:rsidRPr="00F035FB">
        <w:rPr>
          <w:rFonts w:ascii="Georgia" w:eastAsia="Times New Roman" w:hAnsi="Georgia" w:cs="Times New Roman"/>
          <w:color w:val="172B4D"/>
          <w:sz w:val="20"/>
          <w:szCs w:val="20"/>
        </w:rPr>
        <w:t>:</w:t>
      </w:r>
    </w:p>
    <w:p w:rsidR="00B229E3" w:rsidRPr="00F035FB" w:rsidRDefault="00B229E3" w:rsidP="00B229E3">
      <w:pPr>
        <w:numPr>
          <w:ilvl w:val="3"/>
          <w:numId w:val="2"/>
        </w:numPr>
        <w:spacing w:after="0" w:line="240" w:lineRule="auto"/>
        <w:ind w:left="1440"/>
        <w:rPr>
          <w:rFonts w:ascii="Georgia" w:eastAsia="Times New Roman" w:hAnsi="Georgia" w:cs="Times New Roman"/>
          <w:color w:val="172B4D"/>
          <w:sz w:val="20"/>
          <w:szCs w:val="20"/>
        </w:rPr>
      </w:pPr>
      <w:r w:rsidRPr="00B229E3">
        <w:rPr>
          <w:rFonts w:ascii="Georgia" w:eastAsia="Times New Roman" w:hAnsi="Georgia" w:cs="Times New Roman"/>
          <w:color w:val="172B4D"/>
          <w:sz w:val="20"/>
          <w:szCs w:val="20"/>
        </w:rPr>
        <w:t>If submitted for negotiation. If the recipient submits to the Federal awarding agency or the subrecipient submits to the recipient the proposal, plan, or other computation to form the basis for negotiation of the rate, then the 3-year retention period for its supporting records starts on the date of such submission.</w:t>
      </w:r>
    </w:p>
    <w:p w:rsidR="00B229E3" w:rsidRPr="00F035FB" w:rsidRDefault="00B229E3" w:rsidP="00B229E3">
      <w:pPr>
        <w:numPr>
          <w:ilvl w:val="3"/>
          <w:numId w:val="2"/>
        </w:numPr>
        <w:spacing w:after="0" w:line="240" w:lineRule="auto"/>
        <w:ind w:left="1440"/>
        <w:rPr>
          <w:rFonts w:ascii="Georgia" w:eastAsia="Times New Roman" w:hAnsi="Georgia" w:cs="Times New Roman"/>
          <w:color w:val="172B4D"/>
          <w:sz w:val="20"/>
          <w:szCs w:val="20"/>
        </w:rPr>
      </w:pPr>
      <w:r w:rsidRPr="00B229E3">
        <w:rPr>
          <w:rFonts w:ascii="Georgia" w:eastAsia="Times New Roman" w:hAnsi="Georgia" w:cs="Times New Roman"/>
          <w:color w:val="172B4D"/>
          <w:sz w:val="20"/>
          <w:szCs w:val="20"/>
        </w:rPr>
        <w:t xml:space="preserve">If not submitted for negotiation. If the recipient is not required to submit to the Federal awarding agency or the subrecipient is not required to submit to the recipient the proposal, plan, or other computation for negotiation purposes, then the 3-year retention period for the proposal, plan, or other computation and its supporting records starts at </w:t>
      </w:r>
      <w:r w:rsidRPr="00F035FB">
        <w:rPr>
          <w:rFonts w:ascii="Georgia" w:eastAsia="Times New Roman" w:hAnsi="Georgia" w:cs="Times New Roman"/>
          <w:color w:val="172B4D"/>
          <w:sz w:val="20"/>
          <w:szCs w:val="20"/>
        </w:rPr>
        <w:t>the end of the fiscal year (or other accounting period) covered by the proposal, plan, or other computation."</w:t>
      </w:r>
    </w:p>
    <w:p w:rsidR="00B229E3" w:rsidRPr="00B229E3" w:rsidRDefault="00B229E3" w:rsidP="00B229E3">
      <w:pPr>
        <w:numPr>
          <w:ilvl w:val="1"/>
          <w:numId w:val="2"/>
        </w:numPr>
        <w:spacing w:before="100" w:beforeAutospacing="1" w:after="100" w:afterAutospacing="1" w:line="240" w:lineRule="auto"/>
        <w:ind w:left="720"/>
        <w:rPr>
          <w:rFonts w:ascii="Georgia" w:eastAsia="Times New Roman" w:hAnsi="Georgia" w:cs="Times New Roman"/>
          <w:b/>
          <w:color w:val="172B4D"/>
          <w:sz w:val="20"/>
          <w:szCs w:val="20"/>
        </w:rPr>
      </w:pPr>
      <w:r w:rsidRPr="00B229E3">
        <w:rPr>
          <w:rFonts w:ascii="Georgia" w:eastAsia="Times New Roman" w:hAnsi="Georgia" w:cs="Times New Roman"/>
          <w:b/>
          <w:color w:val="172B4D"/>
          <w:sz w:val="20"/>
          <w:szCs w:val="20"/>
        </w:rPr>
        <w:t>State of New Jersey Records Retention and Disposition Schedule</w:t>
      </w:r>
    </w:p>
    <w:p w:rsidR="00B229E3" w:rsidRPr="00B229E3" w:rsidRDefault="00B229E3" w:rsidP="00B229E3">
      <w:pPr>
        <w:numPr>
          <w:ilvl w:val="2"/>
          <w:numId w:val="2"/>
        </w:numPr>
        <w:spacing w:before="100" w:beforeAutospacing="1" w:after="100" w:afterAutospacing="1" w:line="240" w:lineRule="auto"/>
        <w:ind w:left="1080"/>
        <w:rPr>
          <w:rFonts w:ascii="Georgia" w:eastAsia="Times New Roman" w:hAnsi="Georgia" w:cs="Times New Roman"/>
          <w:color w:val="172B4D"/>
          <w:sz w:val="20"/>
          <w:szCs w:val="20"/>
        </w:rPr>
      </w:pPr>
      <w:r w:rsidRPr="00B229E3">
        <w:rPr>
          <w:rFonts w:ascii="Georgia" w:eastAsia="Times New Roman" w:hAnsi="Georgia" w:cs="Times New Roman"/>
          <w:color w:val="172B4D"/>
          <w:sz w:val="20"/>
          <w:szCs w:val="20"/>
        </w:rPr>
        <w:t>Per the Records Retention and Disposition Schedule of the State of New Jersey, Agency number S510204, schedule number 001 and record series number 0001-0001, State, Federal and Private Grant Files that were approved should be retained 7 years after termination of the grant. After such time, unless in litigation, the files should be destroyed. </w:t>
      </w:r>
    </w:p>
    <w:p w:rsidR="00B229E3" w:rsidRPr="00F035FB" w:rsidRDefault="00B229E3" w:rsidP="002F0EF7">
      <w:pPr>
        <w:numPr>
          <w:ilvl w:val="2"/>
          <w:numId w:val="2"/>
        </w:numPr>
        <w:spacing w:before="100" w:beforeAutospacing="1" w:after="100" w:afterAutospacing="1" w:line="240" w:lineRule="auto"/>
        <w:ind w:left="1080"/>
        <w:rPr>
          <w:rFonts w:ascii="Georgia" w:eastAsia="Times New Roman" w:hAnsi="Georgia" w:cs="Times New Roman"/>
          <w:color w:val="172B4D"/>
          <w:sz w:val="20"/>
          <w:szCs w:val="20"/>
        </w:rPr>
      </w:pPr>
      <w:r w:rsidRPr="00B229E3">
        <w:rPr>
          <w:rFonts w:ascii="Georgia" w:eastAsia="Times New Roman" w:hAnsi="Georgia" w:cs="Times New Roman"/>
          <w:color w:val="172B4D"/>
          <w:sz w:val="20"/>
          <w:szCs w:val="20"/>
        </w:rPr>
        <w:t>Declined Files</w:t>
      </w:r>
      <w:r w:rsidRPr="00B229E3">
        <w:rPr>
          <w:rFonts w:ascii="Georgia" w:eastAsia="Times New Roman" w:hAnsi="Georgia" w:cs="Times New Roman"/>
          <w:color w:val="172B4D"/>
          <w:sz w:val="20"/>
          <w:szCs w:val="20"/>
        </w:rPr>
        <w:br/>
        <w:t>Per the Records and Retention and Disposition Schedule of the State of New Jersey, Agency number S510204, schedule number 001, and record series number 0001-0002, State, Federal and Private Grant Files that were denied should be retained for a period of 3 years. After such time, the files should be destroyed.</w:t>
      </w:r>
      <w:r w:rsidRPr="00F035FB">
        <w:rPr>
          <w:rFonts w:ascii="Georgia" w:eastAsia="Times New Roman" w:hAnsi="Georgia" w:cs="Times New Roman"/>
          <w:color w:val="172B4D"/>
          <w:sz w:val="20"/>
          <w:szCs w:val="20"/>
        </w:rPr>
        <w:t xml:space="preserve"> </w:t>
      </w:r>
    </w:p>
    <w:p w:rsidR="00B229E3" w:rsidRPr="00F035FB" w:rsidRDefault="00B229E3" w:rsidP="002F0EF7">
      <w:pPr>
        <w:numPr>
          <w:ilvl w:val="2"/>
          <w:numId w:val="2"/>
        </w:numPr>
        <w:spacing w:before="100" w:beforeAutospacing="1" w:after="100" w:afterAutospacing="1" w:line="240" w:lineRule="auto"/>
        <w:ind w:left="1080"/>
        <w:rPr>
          <w:rFonts w:ascii="Georgia" w:eastAsia="Times New Roman" w:hAnsi="Georgia" w:cs="Times New Roman"/>
          <w:color w:val="172B4D"/>
          <w:sz w:val="20"/>
          <w:szCs w:val="20"/>
        </w:rPr>
      </w:pPr>
      <w:r w:rsidRPr="00B229E3">
        <w:rPr>
          <w:rFonts w:ascii="Georgia" w:eastAsia="Times New Roman" w:hAnsi="Georgia" w:cs="Times New Roman"/>
          <w:color w:val="172B4D"/>
          <w:sz w:val="20"/>
          <w:szCs w:val="20"/>
        </w:rPr>
        <w:t>Withdrawn Files</w:t>
      </w:r>
      <w:r w:rsidRPr="00B229E3">
        <w:rPr>
          <w:rFonts w:ascii="Georgia" w:eastAsia="Times New Roman" w:hAnsi="Georgia" w:cs="Times New Roman"/>
          <w:color w:val="172B4D"/>
          <w:sz w:val="20"/>
          <w:szCs w:val="20"/>
        </w:rPr>
        <w:br/>
        <w:t>Withdrawn files may be retained for a period of up to 1 year beyond the date of initial proposal</w:t>
      </w:r>
      <w:r w:rsidRPr="00F035FB">
        <w:rPr>
          <w:rFonts w:ascii="Georgia" w:eastAsia="Times New Roman" w:hAnsi="Georgia" w:cs="Times New Roman"/>
          <w:color w:val="172B4D"/>
          <w:sz w:val="20"/>
          <w:szCs w:val="20"/>
        </w:rPr>
        <w:t xml:space="preserve"> </w:t>
      </w:r>
    </w:p>
    <w:p w:rsidR="00B229E3" w:rsidRPr="00F035FB" w:rsidRDefault="00B229E3" w:rsidP="00B229E3">
      <w:pPr>
        <w:pStyle w:val="ListParagraph"/>
        <w:numPr>
          <w:ilvl w:val="0"/>
          <w:numId w:val="2"/>
        </w:numPr>
        <w:spacing w:before="100" w:beforeAutospacing="1" w:after="100" w:afterAutospacing="1" w:line="240" w:lineRule="auto"/>
        <w:rPr>
          <w:rFonts w:ascii="Georgia" w:eastAsia="Times New Roman" w:hAnsi="Georgia" w:cs="Times New Roman"/>
          <w:color w:val="172B4D"/>
          <w:sz w:val="20"/>
          <w:szCs w:val="20"/>
        </w:rPr>
      </w:pPr>
      <w:r w:rsidRPr="00F035FB">
        <w:rPr>
          <w:rFonts w:ascii="Georgia" w:eastAsia="Times New Roman" w:hAnsi="Georgia" w:cs="Times New Roman"/>
          <w:color w:val="172B4D"/>
          <w:sz w:val="20"/>
          <w:szCs w:val="20"/>
        </w:rPr>
        <w:t>Changes to this policy will be made in accordance with federal and state requirements.</w:t>
      </w:r>
    </w:p>
    <w:p w:rsidR="00B229E3" w:rsidRPr="00B229E3" w:rsidRDefault="00B229E3" w:rsidP="00B229E3">
      <w:pPr>
        <w:numPr>
          <w:ilvl w:val="3"/>
          <w:numId w:val="1"/>
        </w:numPr>
        <w:spacing w:before="100" w:beforeAutospacing="1" w:after="100" w:afterAutospacing="1" w:line="240" w:lineRule="auto"/>
        <w:ind w:left="1440"/>
        <w:rPr>
          <w:rFonts w:ascii="Georgia" w:eastAsia="Times New Roman" w:hAnsi="Georgia" w:cs="Times New Roman"/>
          <w:color w:val="172B4D"/>
          <w:sz w:val="20"/>
          <w:szCs w:val="20"/>
        </w:rPr>
      </w:pPr>
    </w:p>
    <w:p w:rsidR="00B229E3" w:rsidRDefault="00B229E3" w:rsidP="00B229E3">
      <w:pPr>
        <w:rPr>
          <w:b/>
        </w:rPr>
      </w:pPr>
    </w:p>
    <w:sectPr w:rsidR="00B22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2787"/>
    <w:multiLevelType w:val="multilevel"/>
    <w:tmpl w:val="3D8EBC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CB4716"/>
    <w:multiLevelType w:val="hybridMultilevel"/>
    <w:tmpl w:val="1DE429E8"/>
    <w:lvl w:ilvl="0" w:tplc="1FD813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9F5233"/>
    <w:multiLevelType w:val="multilevel"/>
    <w:tmpl w:val="5CDAB5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A47"/>
    <w:rsid w:val="00511AE4"/>
    <w:rsid w:val="0097193B"/>
    <w:rsid w:val="00994F65"/>
    <w:rsid w:val="009F4500"/>
    <w:rsid w:val="00A06B1D"/>
    <w:rsid w:val="00B229E3"/>
    <w:rsid w:val="00B710F7"/>
    <w:rsid w:val="00E97A47"/>
    <w:rsid w:val="00F03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D585E"/>
  <w15:chartTrackingRefBased/>
  <w15:docId w15:val="{56EEA899-FC52-4C47-8410-95F803F7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9E3"/>
    <w:pPr>
      <w:ind w:left="720"/>
      <w:contextualSpacing/>
    </w:pPr>
  </w:style>
  <w:style w:type="character" w:styleId="Hyperlink">
    <w:name w:val="Hyperlink"/>
    <w:basedOn w:val="DefaultParagraphFont"/>
    <w:uiPriority w:val="99"/>
    <w:unhideWhenUsed/>
    <w:rsid w:val="009F45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3037">
      <w:bodyDiv w:val="1"/>
      <w:marLeft w:val="0"/>
      <w:marRight w:val="0"/>
      <w:marTop w:val="0"/>
      <w:marBottom w:val="0"/>
      <w:divBdr>
        <w:top w:val="none" w:sz="0" w:space="0" w:color="auto"/>
        <w:left w:val="none" w:sz="0" w:space="0" w:color="auto"/>
        <w:bottom w:val="none" w:sz="0" w:space="0" w:color="auto"/>
        <w:right w:val="none" w:sz="0" w:space="0" w:color="auto"/>
      </w:divBdr>
      <w:divsChild>
        <w:div w:id="1760055318">
          <w:marLeft w:val="0"/>
          <w:marRight w:val="0"/>
          <w:marTop w:val="150"/>
          <w:marBottom w:val="0"/>
          <w:divBdr>
            <w:top w:val="none" w:sz="0" w:space="0" w:color="auto"/>
            <w:left w:val="none" w:sz="0" w:space="0" w:color="auto"/>
            <w:bottom w:val="none" w:sz="0" w:space="0" w:color="auto"/>
            <w:right w:val="none" w:sz="0" w:space="0" w:color="auto"/>
          </w:divBdr>
          <w:divsChild>
            <w:div w:id="224417864">
              <w:marLeft w:val="0"/>
              <w:marRight w:val="0"/>
              <w:marTop w:val="0"/>
              <w:marBottom w:val="0"/>
              <w:divBdr>
                <w:top w:val="none" w:sz="0" w:space="0" w:color="auto"/>
                <w:left w:val="none" w:sz="0" w:space="0" w:color="auto"/>
                <w:bottom w:val="none" w:sz="0" w:space="0" w:color="auto"/>
                <w:right w:val="none" w:sz="0" w:space="0" w:color="auto"/>
              </w:divBdr>
              <w:divsChild>
                <w:div w:id="707532135">
                  <w:marLeft w:val="0"/>
                  <w:marRight w:val="0"/>
                  <w:marTop w:val="0"/>
                  <w:marBottom w:val="0"/>
                  <w:divBdr>
                    <w:top w:val="none" w:sz="0" w:space="0" w:color="auto"/>
                    <w:left w:val="none" w:sz="0" w:space="0" w:color="auto"/>
                    <w:bottom w:val="none" w:sz="0" w:space="0" w:color="auto"/>
                    <w:right w:val="none" w:sz="0" w:space="0" w:color="auto"/>
                  </w:divBdr>
                  <w:divsChild>
                    <w:div w:id="357006536">
                      <w:marLeft w:val="-225"/>
                      <w:marRight w:val="-225"/>
                      <w:marTop w:val="150"/>
                      <w:marBottom w:val="0"/>
                      <w:divBdr>
                        <w:top w:val="none" w:sz="0" w:space="0" w:color="auto"/>
                        <w:left w:val="none" w:sz="0" w:space="0" w:color="auto"/>
                        <w:bottom w:val="none" w:sz="0" w:space="0" w:color="auto"/>
                        <w:right w:val="none" w:sz="0" w:space="0" w:color="auto"/>
                      </w:divBdr>
                      <w:divsChild>
                        <w:div w:id="1921405338">
                          <w:marLeft w:val="0"/>
                          <w:marRight w:val="0"/>
                          <w:marTop w:val="0"/>
                          <w:marBottom w:val="0"/>
                          <w:divBdr>
                            <w:top w:val="none" w:sz="0" w:space="0" w:color="auto"/>
                            <w:left w:val="none" w:sz="0" w:space="0" w:color="auto"/>
                            <w:bottom w:val="none" w:sz="0" w:space="0" w:color="auto"/>
                            <w:right w:val="none" w:sz="0" w:space="0" w:color="auto"/>
                          </w:divBdr>
                          <w:divsChild>
                            <w:div w:id="4764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796307">
      <w:bodyDiv w:val="1"/>
      <w:marLeft w:val="0"/>
      <w:marRight w:val="0"/>
      <w:marTop w:val="0"/>
      <w:marBottom w:val="0"/>
      <w:divBdr>
        <w:top w:val="none" w:sz="0" w:space="0" w:color="auto"/>
        <w:left w:val="none" w:sz="0" w:space="0" w:color="auto"/>
        <w:bottom w:val="none" w:sz="0" w:space="0" w:color="auto"/>
        <w:right w:val="none" w:sz="0" w:space="0" w:color="auto"/>
      </w:divBdr>
      <w:divsChild>
        <w:div w:id="454906123">
          <w:marLeft w:val="0"/>
          <w:marRight w:val="0"/>
          <w:marTop w:val="150"/>
          <w:marBottom w:val="0"/>
          <w:divBdr>
            <w:top w:val="none" w:sz="0" w:space="0" w:color="auto"/>
            <w:left w:val="none" w:sz="0" w:space="0" w:color="auto"/>
            <w:bottom w:val="none" w:sz="0" w:space="0" w:color="auto"/>
            <w:right w:val="none" w:sz="0" w:space="0" w:color="auto"/>
          </w:divBdr>
          <w:divsChild>
            <w:div w:id="429933573">
              <w:marLeft w:val="0"/>
              <w:marRight w:val="0"/>
              <w:marTop w:val="0"/>
              <w:marBottom w:val="0"/>
              <w:divBdr>
                <w:top w:val="none" w:sz="0" w:space="0" w:color="auto"/>
                <w:left w:val="none" w:sz="0" w:space="0" w:color="auto"/>
                <w:bottom w:val="none" w:sz="0" w:space="0" w:color="auto"/>
                <w:right w:val="none" w:sz="0" w:space="0" w:color="auto"/>
              </w:divBdr>
              <w:divsChild>
                <w:div w:id="1004476498">
                  <w:marLeft w:val="0"/>
                  <w:marRight w:val="0"/>
                  <w:marTop w:val="0"/>
                  <w:marBottom w:val="0"/>
                  <w:divBdr>
                    <w:top w:val="none" w:sz="0" w:space="0" w:color="auto"/>
                    <w:left w:val="none" w:sz="0" w:space="0" w:color="auto"/>
                    <w:bottom w:val="none" w:sz="0" w:space="0" w:color="auto"/>
                    <w:right w:val="none" w:sz="0" w:space="0" w:color="auto"/>
                  </w:divBdr>
                  <w:divsChild>
                    <w:div w:id="45185628">
                      <w:marLeft w:val="-225"/>
                      <w:marRight w:val="-225"/>
                      <w:marTop w:val="150"/>
                      <w:marBottom w:val="0"/>
                      <w:divBdr>
                        <w:top w:val="none" w:sz="0" w:space="0" w:color="auto"/>
                        <w:left w:val="none" w:sz="0" w:space="0" w:color="auto"/>
                        <w:bottom w:val="none" w:sz="0" w:space="0" w:color="auto"/>
                        <w:right w:val="none" w:sz="0" w:space="0" w:color="auto"/>
                      </w:divBdr>
                      <w:divsChild>
                        <w:div w:id="262110440">
                          <w:marLeft w:val="0"/>
                          <w:marRight w:val="0"/>
                          <w:marTop w:val="0"/>
                          <w:marBottom w:val="0"/>
                          <w:divBdr>
                            <w:top w:val="none" w:sz="0" w:space="0" w:color="auto"/>
                            <w:left w:val="none" w:sz="0" w:space="0" w:color="auto"/>
                            <w:bottom w:val="none" w:sz="0" w:space="0" w:color="auto"/>
                            <w:right w:val="none" w:sz="0" w:space="0" w:color="auto"/>
                          </w:divBdr>
                          <w:divsChild>
                            <w:div w:id="4396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723368">
      <w:bodyDiv w:val="1"/>
      <w:marLeft w:val="0"/>
      <w:marRight w:val="0"/>
      <w:marTop w:val="0"/>
      <w:marBottom w:val="0"/>
      <w:divBdr>
        <w:top w:val="none" w:sz="0" w:space="0" w:color="auto"/>
        <w:left w:val="none" w:sz="0" w:space="0" w:color="auto"/>
        <w:bottom w:val="none" w:sz="0" w:space="0" w:color="auto"/>
        <w:right w:val="none" w:sz="0" w:space="0" w:color="auto"/>
      </w:divBdr>
      <w:divsChild>
        <w:div w:id="1739982444">
          <w:marLeft w:val="0"/>
          <w:marRight w:val="0"/>
          <w:marTop w:val="150"/>
          <w:marBottom w:val="0"/>
          <w:divBdr>
            <w:top w:val="none" w:sz="0" w:space="0" w:color="auto"/>
            <w:left w:val="none" w:sz="0" w:space="0" w:color="auto"/>
            <w:bottom w:val="none" w:sz="0" w:space="0" w:color="auto"/>
            <w:right w:val="none" w:sz="0" w:space="0" w:color="auto"/>
          </w:divBdr>
          <w:divsChild>
            <w:div w:id="636764067">
              <w:marLeft w:val="0"/>
              <w:marRight w:val="0"/>
              <w:marTop w:val="0"/>
              <w:marBottom w:val="0"/>
              <w:divBdr>
                <w:top w:val="none" w:sz="0" w:space="0" w:color="auto"/>
                <w:left w:val="none" w:sz="0" w:space="0" w:color="auto"/>
                <w:bottom w:val="none" w:sz="0" w:space="0" w:color="auto"/>
                <w:right w:val="none" w:sz="0" w:space="0" w:color="auto"/>
              </w:divBdr>
              <w:divsChild>
                <w:div w:id="1269585143">
                  <w:marLeft w:val="0"/>
                  <w:marRight w:val="0"/>
                  <w:marTop w:val="0"/>
                  <w:marBottom w:val="0"/>
                  <w:divBdr>
                    <w:top w:val="none" w:sz="0" w:space="0" w:color="auto"/>
                    <w:left w:val="none" w:sz="0" w:space="0" w:color="auto"/>
                    <w:bottom w:val="none" w:sz="0" w:space="0" w:color="auto"/>
                    <w:right w:val="none" w:sz="0" w:space="0" w:color="auto"/>
                  </w:divBdr>
                  <w:divsChild>
                    <w:div w:id="560868747">
                      <w:marLeft w:val="-225"/>
                      <w:marRight w:val="-225"/>
                      <w:marTop w:val="150"/>
                      <w:marBottom w:val="0"/>
                      <w:divBdr>
                        <w:top w:val="none" w:sz="0" w:space="0" w:color="auto"/>
                        <w:left w:val="none" w:sz="0" w:space="0" w:color="auto"/>
                        <w:bottom w:val="none" w:sz="0" w:space="0" w:color="auto"/>
                        <w:right w:val="none" w:sz="0" w:space="0" w:color="auto"/>
                      </w:divBdr>
                      <w:divsChild>
                        <w:div w:id="1164665190">
                          <w:marLeft w:val="0"/>
                          <w:marRight w:val="0"/>
                          <w:marTop w:val="0"/>
                          <w:marBottom w:val="0"/>
                          <w:divBdr>
                            <w:top w:val="none" w:sz="0" w:space="0" w:color="auto"/>
                            <w:left w:val="none" w:sz="0" w:space="0" w:color="auto"/>
                            <w:bottom w:val="none" w:sz="0" w:space="0" w:color="auto"/>
                            <w:right w:val="none" w:sz="0" w:space="0" w:color="auto"/>
                          </w:divBdr>
                          <w:divsChild>
                            <w:div w:id="71350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fluence.rowan.edu/display/POLICY/Use+of+SSNs+and+PII+in+Human+Subject+Research" TargetMode="External"/><Relationship Id="rId5" Type="http://schemas.openxmlformats.org/officeDocument/2006/relationships/hyperlink" Target="https://confluence.rowan.edu/display/POLICY/Data+Ownership+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Murthy, Sreekant</dc:creator>
  <cp:keywords/>
  <dc:description/>
  <cp:lastModifiedBy>Murthy, Sreekant</cp:lastModifiedBy>
  <cp:revision>2</cp:revision>
  <dcterms:created xsi:type="dcterms:W3CDTF">2020-05-30T18:10:00Z</dcterms:created>
  <dcterms:modified xsi:type="dcterms:W3CDTF">2020-05-30T18:10:00Z</dcterms:modified>
</cp:coreProperties>
</file>